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315</w:t>
      </w:r>
    </w:p>
    <w:p>
      <w:r>
        <w:t>Bundesgericht (BGE), 1990-06-27, IT</w:t>
      </w:r>
    </w:p>
    <w:p>
      <w:r>
        <w:rPr>
          <w:b/>
        </w:rPr>
        <w:t xml:space="preserve">Quelle: </w:t>
      </w:r>
      <w:r>
        <w:t>https://mcp.opencaselaw.ch/entscheid/bge_116 II 315</w:t>
      </w:r>
    </w:p>
    <w:p>
      <w:r>
        <w:t>FR: ATF 116 II 315</w:t>
      </w:r>
    </w:p>
    <w:p>
      <w:r>
        <w:t>IT: DTF 116 II 315</w:t>
      </w:r>
    </w:p>
    <w:p>
      <w:pPr>
        <w:pStyle w:val="Heading2"/>
      </w:pPr>
      <w:r>
        <w:t>Regeste</w:t>
      </w:r>
    </w:p>
    <w:p>
      <w:r>
        <w:t>Regeste Werkvertrag mit Festpreisabrede. Preiserhöhung (Art. 373 Abs. 2 OR). Der Unternehmer verwirkt seinen Anspruch auf Preiserhöhung, wenn er das Werk trotz erkannter Abweichung von der Offerte fertigstellt, ohne die Vertragsauflösung zu erklären oder unverzüglich die Anpassung der Berechnungsgrundlagen und des Preises zu verlangen.</w:t>
      </w:r>
    </w:p>
    <w:p>
      <w:pPr>
        <w:pStyle w:val="Heading2"/>
      </w:pPr>
      <w:r>
        <w:t>Erwägungen</w:t>
      </w:r>
    </w:p>
    <w:p>
      <w:r>
        <w:rPr>
          <w:b/>
        </w:rPr>
        <w:t>E. 3</w:t>
      </w:r>
    </w:p>
    <w:p>
      <w:r>
        <w:t>Il ricorrente afferma poi che qualora l'opera avesse dovuto essere eseguita a forfait, vi sarebbero delle circostanze straordinarie (art. 373 cpv. 2 CO) che giustificano un aumento della mercede. Dagli accertamenti dei giudici cantonali risulta che il ricorrente, nonostante si fosse subito accorto che l'opera che stava eseguendo non era conforme all'offerta, non ha risolto il contratto né richiesto immediatamente la ricalcolazione dei quantitativi e dei prezzi (art. 373 cpv. 2 CO), BGE 116 II 315 S. 316 portando praticamente a compimento l'opera. In simili circostanze, il ricorrente non può richiedere ora un aumento della mercede (GAUTSCHI, in: Berner Kommentar, n. 16 ad art. 373). Il fatto poi che il convenuto ha versato acconti per un importo superiore alla mercede stabilita, non significa che egli riteneva il contratto superato dalle circostanze. I maggiori versamenti sono infatti dovuti alle modifiche (diversa isolazione e maggior impiego di acciaio e cemento) accettate dal convenuto. Anche su questo punto il giudizio della Corte cantonale è conforme al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